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>
  <w:body>
    <w:p>
      <w:pPr>
        <w:spacing w:before="480" w:after="480" w:line="288" w:lineRule="auto"/>
        <w:ind w:left="0"/>
      </w:pPr>
      <w:r>
        <w:rPr>
          <w:rFonts w:eastAsia="等线" w:ascii="Arial" w:cs="Arial" w:hAnsi="Arial"/>
          <w:b w:val="true"/>
          <w:sz w:val="52"/>
        </w:rPr>
        <w:t>2027届校招简章中文版（0821更新）</w:t>
      </w:r>
    </w:p>
    <w:p>
      <w:pPr>
        <w:spacing w:before="120" w:after="120" w:line="288" w:lineRule="auto"/>
        <w:ind w:left="0"/>
        <w:jc w:val="center"/>
      </w:pPr>
      <w:r>
        <w:drawing>
          <wp:inline distT="0" distR="0" distB="0" distL="0">
            <wp:extent cx="5257800" cy="2981325"/>
            <wp:docPr id="0" name="Drawing 0" descr="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20" w:after="120" w:line="288" w:lineRule="auto"/>
        <w:ind w:left="0"/>
        <w:jc w:val="left"/>
      </w:pPr>
    </w:p>
    <w:p>
      <w:pPr>
        <w:spacing w:before="120" w:after="120" w:line="288" w:lineRule="auto"/>
        <w:ind w:left="0"/>
        <w:jc w:val="left"/>
      </w:pPr>
    </w:p>
    <w:p>
      <w:pPr>
        <w:spacing w:before="120" w:after="120" w:line="288" w:lineRule="auto"/>
        <w:ind w:left="0"/>
        <w:jc w:val="center"/>
      </w:pPr>
      <w:r>
        <w:rPr>
          <w:rFonts w:eastAsia="等线" w:ascii="Arial" w:cs="Arial" w:hAnsi="Arial"/>
          <w:b w:val="true"/>
          <w:sz w:val="22"/>
        </w:rPr>
        <w:t>华勤技术2027届全球校园招聘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 xml:space="preserve"> 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color w:val="8f959e"/>
          <w:sz w:val="22"/>
        </w:rPr>
        <w:t xml:space="preserve">【企业介绍】 </w:t>
      </w:r>
    </w:p>
    <w:p>
      <w:pPr>
        <w:numPr>
          <w:numId w:val="1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公司概况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华勤技术股份有限公司，股票代码(603296.SH、</w:t>
      </w:r>
      <w:r>
        <w:rPr>
          <w:rFonts w:eastAsia="等线" w:ascii="Arial" w:cs="Arial" w:hAnsi="Arial"/>
          <w:sz w:val="22"/>
        </w:rPr>
        <w:t>03296.HK</w:t>
      </w:r>
      <w:r>
        <w:rPr>
          <w:rFonts w:eastAsia="等线" w:ascii="Arial" w:cs="Arial" w:hAnsi="Arial"/>
          <w:sz w:val="22"/>
        </w:rPr>
        <w:t>)成立于2005年，总部位于中国上海。是全球领先、技术驱动的智能产品平台型公司，为客户提供全价值链的端到端解决方案。深耕智能产品领域20余年，华勤技术深度参与了移动通讯、互联网、云计算和人工智能时代下产品和技术的迭代和发展，为全球领先的科技公司提供涵盖移动终端、计算及数据中心业务、AIoT和创新领域的产品与服务。公司荣获2026年度《财富》中国500强第151位、2025年《财富》中国ESG影响力上榜企业、2025年福布斯中国ESG50强、ESG评级Wind AAA/MSCI A、2025领英全球毕业生吸引力雇主以及2026年中国杰出雇主。</w:t>
      </w:r>
    </w:p>
    <w:p>
      <w:pPr>
        <w:numPr>
          <w:numId w:val="2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员工规模</w:t>
      </w:r>
      <w:r>
        <w:rPr>
          <w:rFonts w:eastAsia="等线" w:ascii="Arial" w:cs="Arial" w:hAnsi="Arial"/>
          <w:sz w:val="22"/>
        </w:rPr>
        <w:br/>
      </w:r>
      <w:r>
        <w:rPr>
          <w:rFonts w:eastAsia="等线" w:ascii="Arial" w:cs="Arial" w:hAnsi="Arial"/>
          <w:sz w:val="22"/>
        </w:rPr>
        <w:t>全球员工近7万人，其中研发人员超2万人。</w:t>
      </w:r>
    </w:p>
    <w:p>
      <w:pPr>
        <w:numPr>
          <w:numId w:val="3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股票信息</w:t>
      </w:r>
      <w:r>
        <w:rPr>
          <w:rFonts w:eastAsia="等线" w:ascii="Arial" w:cs="Arial" w:hAnsi="Arial"/>
          <w:sz w:val="22"/>
        </w:rPr>
        <w:br/>
      </w:r>
      <w:r>
        <w:rPr>
          <w:rFonts w:eastAsia="等线" w:ascii="Arial" w:cs="Arial" w:hAnsi="Arial"/>
          <w:sz w:val="22"/>
        </w:rPr>
        <w:t>公司于2023年8月8日在上交所主板上市，股票代码：603296。公司于2026年4月23日，在香港交易所上市，股票代码</w:t>
      </w:r>
      <w:r>
        <w:rPr>
          <w:rFonts w:eastAsia="等线" w:ascii="Arial" w:cs="Arial" w:hAnsi="Arial"/>
          <w:sz w:val="22"/>
        </w:rPr>
        <w:t>03296.HK</w:t>
      </w:r>
      <w:r>
        <w:rPr>
          <w:rFonts w:eastAsia="等线" w:ascii="Arial" w:cs="Arial" w:hAnsi="Arial"/>
          <w:sz w:val="22"/>
        </w:rPr>
        <w:t>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color w:val="8f959e"/>
          <w:sz w:val="22"/>
        </w:rPr>
        <w:t xml:space="preserve">【人性化福利】 </w:t>
      </w:r>
    </w:p>
    <w:p>
      <w:pPr>
        <w:numPr>
          <w:numId w:val="4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薪资与保障</w:t>
      </w:r>
      <w:r>
        <w:rPr>
          <w:rFonts w:eastAsia="等线" w:ascii="Arial" w:cs="Arial" w:hAnsi="Arial"/>
          <w:sz w:val="22"/>
        </w:rPr>
        <w:t>：丰富的薪资组成，五险一金 + 补充商业保险。</w:t>
      </w:r>
    </w:p>
    <w:p>
      <w:pPr>
        <w:numPr>
          <w:numId w:val="5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补贴与奖励</w:t>
      </w:r>
      <w:r>
        <w:rPr>
          <w:rFonts w:eastAsia="等线" w:ascii="Arial" w:cs="Arial" w:hAnsi="Arial"/>
          <w:sz w:val="22"/>
        </w:rPr>
        <w:t>：餐补、交通补等各项补贴、创新奖、服务贡献奖等其他奖励。</w:t>
      </w:r>
    </w:p>
    <w:p>
      <w:pPr>
        <w:numPr>
          <w:numId w:val="6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职业发展</w:t>
      </w:r>
      <w:r>
        <w:rPr>
          <w:rFonts w:eastAsia="等线" w:ascii="Arial" w:cs="Arial" w:hAnsi="Arial"/>
          <w:sz w:val="22"/>
        </w:rPr>
        <w:t>：全面、系统、专业的培训；“活水计划”提供广阔的职业发展空间与提升机会。</w:t>
      </w:r>
    </w:p>
    <w:p>
      <w:pPr>
        <w:numPr>
          <w:numId w:val="7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员工关怀</w:t>
      </w:r>
      <w:r>
        <w:rPr>
          <w:rFonts w:eastAsia="等线" w:ascii="Arial" w:cs="Arial" w:hAnsi="Arial"/>
          <w:sz w:val="22"/>
        </w:rPr>
        <w:t>：丰富的员工关怀（如员工生日会、员工关爱基金、协会活动、公司旅游、团队拓展、年度体检等）。</w:t>
      </w:r>
    </w:p>
    <w:p>
      <w:pPr>
        <w:numPr>
          <w:numId w:val="8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成长通道</w:t>
      </w:r>
      <w:r>
        <w:rPr>
          <w:rFonts w:eastAsia="等线" w:ascii="Arial" w:cs="Arial" w:hAnsi="Arial"/>
          <w:sz w:val="22"/>
        </w:rPr>
        <w:t>：完善的晋升体系，导师及班主任带教政策，享受应届生快速成长通道。</w:t>
      </w:r>
      <w:r>
        <w:rPr>
          <w:rFonts w:eastAsia="等线" w:ascii="Arial" w:cs="Arial" w:hAnsi="Arial"/>
          <w:i w:val="true"/>
          <w:sz w:val="22"/>
        </w:rPr>
        <w:t>.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color w:val="8f959e"/>
          <w:sz w:val="22"/>
        </w:rPr>
        <w:t xml:space="preserve">【招聘岗位】 </w:t>
      </w:r>
    </w:p>
    <w:tbl>
      <w:tblPr>
        <w:tblW w:w="0" w:type="auto"/>
        <w:tblInd w:w="0" w:type="dxa"/>
        <w:tblBorders>
          <w:top w:val="single" w:color="dee0e3"/>
          <w:left w:val="single" w:color="dee0e3"/>
          <w:bottom w:val="single" w:color="dee0e3"/>
          <w:right w:val="single" w:color="dee0e3"/>
          <w:insideH w:val="single" w:color="dee0e3"/>
          <w:insideV w:val="single" w:color="dee0e3"/>
        </w:tblBorders>
        <w:tblLayout w:type="fixed"/>
      </w:tblPr>
      <w:tblGrid>
        <w:gridCol w:w="870"/>
        <w:gridCol w:w="2385"/>
        <w:gridCol w:w="5025"/>
      </w:tblGrid>
      <w:tr>
        <w:tc>
          <w:tcPr>
            <w:tcW w:w="8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b w:val="true"/>
                <w:color w:val="8f959e"/>
                <w:sz w:val="22"/>
              </w:rPr>
              <w:t>岗位大类</w:t>
            </w:r>
          </w:p>
        </w:tc>
        <w:tc>
          <w:tcPr>
            <w:tcW w:w="238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b w:val="true"/>
                <w:color w:val="8f959e"/>
                <w:sz w:val="22"/>
              </w:rPr>
              <w:t>岗位</w:t>
            </w:r>
          </w:p>
        </w:tc>
        <w:tc>
          <w:tcPr>
            <w:tcW w:w="502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b w:val="true"/>
                <w:color w:val="8f959e"/>
                <w:sz w:val="22"/>
              </w:rPr>
              <w:t>相关专业</w:t>
            </w:r>
          </w:p>
        </w:tc>
      </w:tr>
      <w:tr>
        <w:tc>
          <w:tcPr>
            <w:tcW w:w="8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硬件类</w:t>
            </w:r>
          </w:p>
        </w:tc>
        <w:tc>
          <w:tcPr>
            <w:tcW w:w="238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硬件开发工程师、电源开发工程师、声学工程师、射频开发工程师、光学开发工程师</w:t>
            </w:r>
          </w:p>
        </w:tc>
        <w:tc>
          <w:tcPr>
            <w:tcW w:w="502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机械工程、电气工程、机电工程、信号处理、自动化、电子信息工程、电磁场与微波技术、力学、计算机科学、通信工程、声学、物理学等</w:t>
            </w:r>
          </w:p>
        </w:tc>
      </w:tr>
      <w:tr>
        <w:tc>
          <w:tcPr>
            <w:tcW w:w="8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结构类</w:t>
            </w:r>
          </w:p>
        </w:tc>
        <w:tc>
          <w:tcPr>
            <w:tcW w:w="238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结构工程师、热设计工程师、ID设计师、包装工程师</w:t>
            </w:r>
          </w:p>
        </w:tc>
        <w:tc>
          <w:tcPr>
            <w:tcW w:w="502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自动化、机械工程、材料科学与工程、电气工程、工业设计、土木工程、热能工程、流体力学、工程热物理等</w:t>
            </w:r>
          </w:p>
        </w:tc>
      </w:tr>
      <w:tr>
        <w:tc>
          <w:tcPr>
            <w:tcW w:w="8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软件类</w:t>
            </w:r>
          </w:p>
        </w:tc>
        <w:tc>
          <w:tcPr>
            <w:tcW w:w="238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驱动开发工程师（C语言、C++）、驱动开发工程师-BIOS/BSP/BMC、应用软件开发工程师（C++、JAVA）、影像开发工程师</w:t>
            </w:r>
          </w:p>
        </w:tc>
        <w:tc>
          <w:tcPr>
            <w:tcW w:w="502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电子信息工程、自动化、通信工程、计算机科学与技术、软件工程等</w:t>
            </w:r>
          </w:p>
        </w:tc>
      </w:tr>
      <w:tr>
        <w:tc>
          <w:tcPr>
            <w:tcW w:w="8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测试类</w:t>
            </w:r>
          </w:p>
        </w:tc>
        <w:tc>
          <w:tcPr>
            <w:tcW w:w="238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软件测试开发工程师、硬件测试开发工程师、电信号完整性工程师</w:t>
            </w:r>
          </w:p>
        </w:tc>
        <w:tc>
          <w:tcPr>
            <w:tcW w:w="502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电子信息工程、自动化、通信工程、计算机科学与技术等</w:t>
            </w:r>
          </w:p>
        </w:tc>
      </w:tr>
      <w:tr>
        <w:tc>
          <w:tcPr>
            <w:tcW w:w="8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算法类</w:t>
            </w:r>
          </w:p>
        </w:tc>
        <w:tc>
          <w:tcPr>
            <w:tcW w:w="238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算法工程师、AI工程师</w:t>
            </w:r>
          </w:p>
        </w:tc>
        <w:tc>
          <w:tcPr>
            <w:tcW w:w="502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计算机科学与技术、自动化、应用数学、声学处理、数字信号处理、模式识别与智能系统、人工智能、物理学、数学与应用数学等</w:t>
            </w:r>
          </w:p>
        </w:tc>
      </w:tr>
      <w:tr>
        <w:tc>
          <w:tcPr>
            <w:tcW w:w="8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工程技术类</w:t>
            </w:r>
          </w:p>
        </w:tc>
        <w:tc>
          <w:tcPr>
            <w:tcW w:w="238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测试工程师、工业工程师、工艺工程师、生产工程师、设备工程师、项目专员、自动化工程师、MES系统运维工程师、EHS工程师、新产品导入工程师</w:t>
            </w:r>
          </w:p>
        </w:tc>
        <w:tc>
          <w:tcPr>
            <w:tcW w:w="502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管理科学、统计学、物流管理、自动化、机械工程、工业工程、通信工程、电子信息工程、计算机科学与技术、软件工程、信息管理、电力工程等</w:t>
            </w:r>
          </w:p>
        </w:tc>
      </w:tr>
      <w:tr>
        <w:tc>
          <w:tcPr>
            <w:tcW w:w="8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IT类</w:t>
            </w:r>
          </w:p>
        </w:tc>
        <w:tc>
          <w:tcPr>
            <w:tcW w:w="238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IT开发工程师、IT数据工程师、IT网络安全工程师、IT运维工程师、IT需求分析工程师</w:t>
            </w:r>
          </w:p>
        </w:tc>
        <w:tc>
          <w:tcPr>
            <w:tcW w:w="502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计算机科学、软件工程、信息技术、电子信息工程、通信工程、网络安全、网络工程等</w:t>
            </w:r>
          </w:p>
        </w:tc>
      </w:tr>
      <w:tr>
        <w:tc>
          <w:tcPr>
            <w:tcW w:w="8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大运营类</w:t>
            </w:r>
          </w:p>
        </w:tc>
        <w:tc>
          <w:tcPr>
            <w:tcW w:w="238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采购工程师、供应链计划工程师、供应商质量管理工程师、经管工程师、售后工艺工程师、物流工程师、质量工程师、技术销售工程师</w:t>
            </w:r>
          </w:p>
        </w:tc>
        <w:tc>
          <w:tcPr>
            <w:tcW w:w="502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物流工程、物流管理、国际贸易、经济学、电子信息工程、电力工程、计算机科学与技术、机电工程、机械工程、材料科学与工程、自动化、通信工程、网络工程、软件工程、工业工程、运营管理、供应链管理、采购与供应管理、质量管理、数据科学与大数据技术、信息管理与信息系统、工商管理、应用统计学、电气工程及其自动化、系统工程、电子商务等</w:t>
            </w:r>
          </w:p>
        </w:tc>
      </w:tr>
      <w:tr>
        <w:tc>
          <w:tcPr>
            <w:tcW w:w="87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平台类</w:t>
            </w:r>
          </w:p>
        </w:tc>
        <w:tc>
          <w:tcPr>
            <w:tcW w:w="238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财务专员、行政专员、人力资源专员、商务专员、市场专员、项目经理</w:t>
            </w:r>
          </w:p>
        </w:tc>
        <w:tc>
          <w:tcPr>
            <w:tcW w:w="502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不限专业</w:t>
            </w:r>
          </w:p>
        </w:tc>
      </w:tr>
    </w:tbl>
    <w:p>
      <w:pPr>
        <w:spacing w:before="120" w:after="120" w:line="288" w:lineRule="auto"/>
        <w:ind w:left="0"/>
        <w:jc w:val="left"/>
      </w:pP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color w:val="8f959e"/>
          <w:sz w:val="22"/>
        </w:rPr>
        <w:t>【校招安排】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 xml:space="preserve">招聘对象 </w:t>
      </w:r>
    </w:p>
    <w:p>
      <w:pPr>
        <w:numPr>
          <w:numId w:val="9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国内</w:t>
      </w:r>
      <w:r>
        <w:rPr>
          <w:rFonts w:eastAsia="等线" w:ascii="Arial" w:cs="Arial" w:hAnsi="Arial"/>
          <w:sz w:val="22"/>
        </w:rPr>
        <w:t>：2026年9月 - 2027年8月</w:t>
      </w:r>
    </w:p>
    <w:p>
      <w:pPr>
        <w:numPr>
          <w:numId w:val="10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海外</w:t>
      </w:r>
      <w:r>
        <w:rPr>
          <w:rFonts w:eastAsia="等线" w:ascii="Arial" w:cs="Arial" w:hAnsi="Arial"/>
          <w:sz w:val="22"/>
        </w:rPr>
        <w:t>：2026年1月 - 2027年12月（美国院校毕业周期在2024年1月 - 2027年12月）</w:t>
      </w:r>
    </w:p>
    <w:p>
      <w:pPr>
        <w:numPr>
          <w:numId w:val="11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i w:val="true"/>
          <w:sz w:val="22"/>
        </w:rPr>
        <w:t>中国大陆院校以毕业证为准，港澳台及海外院校以学历学位认证书时间为准。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 xml:space="preserve">工作城市 </w:t>
      </w:r>
    </w:p>
    <w:p>
      <w:pPr>
        <w:numPr>
          <w:numId w:val="12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国内</w:t>
      </w:r>
      <w:r>
        <w:rPr>
          <w:rFonts w:eastAsia="等线" w:ascii="Arial" w:cs="Arial" w:hAnsi="Arial"/>
          <w:sz w:val="22"/>
        </w:rPr>
        <w:t>：上海、无锡、东莞、南昌、西安、天津、武汉、重庆、河源、北京、宁波、成都</w:t>
      </w:r>
    </w:p>
    <w:p>
      <w:pPr>
        <w:numPr>
          <w:numId w:val="13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海外</w:t>
      </w:r>
      <w:r>
        <w:rPr>
          <w:rFonts w:eastAsia="等线" w:ascii="Arial" w:cs="Arial" w:hAnsi="Arial"/>
          <w:sz w:val="22"/>
        </w:rPr>
        <w:t>：越南、墨西哥、印度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行程安排</w:t>
      </w:r>
    </w:p>
    <w:p>
      <w:pPr>
        <w:numPr>
          <w:numId w:val="14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网申+测评</w:t>
      </w:r>
      <w:r>
        <w:rPr>
          <w:rFonts w:eastAsia="等线" w:ascii="Arial" w:cs="Arial" w:hAnsi="Arial"/>
          <w:sz w:val="22"/>
        </w:rPr>
        <w:t>：8月18日开始</w:t>
      </w:r>
    </w:p>
    <w:p>
      <w:pPr>
        <w:numPr>
          <w:numId w:val="15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2-3轮面试</w:t>
      </w:r>
      <w:r>
        <w:rPr>
          <w:rFonts w:eastAsia="等线" w:ascii="Arial" w:cs="Arial" w:hAnsi="Arial"/>
          <w:sz w:val="22"/>
        </w:rPr>
        <w:t>：8月底陆续开始</w:t>
      </w:r>
    </w:p>
    <w:p>
      <w:pPr>
        <w:numPr>
          <w:numId w:val="16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发放意向书</w:t>
      </w:r>
      <w:r>
        <w:rPr>
          <w:rFonts w:eastAsia="等线" w:ascii="Arial" w:cs="Arial" w:hAnsi="Arial"/>
          <w:sz w:val="22"/>
        </w:rPr>
        <w:t>：面试结束后一周</w:t>
      </w:r>
    </w:p>
    <w:p>
      <w:pPr>
        <w:numPr>
          <w:numId w:val="17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offer发放与签约</w:t>
      </w:r>
      <w:r>
        <w:rPr>
          <w:rFonts w:eastAsia="等线" w:ascii="Arial" w:cs="Arial" w:hAnsi="Arial"/>
          <w:sz w:val="22"/>
        </w:rPr>
        <w:t>：意向书发放后滚动安排</w:t>
      </w:r>
    </w:p>
    <w:p>
      <w:pPr>
        <w:numPr>
          <w:numId w:val="18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线下行程</w:t>
      </w:r>
      <w:r>
        <w:rPr>
          <w:rFonts w:eastAsia="等线" w:ascii="Arial" w:cs="Arial" w:hAnsi="Arial"/>
          <w:sz w:val="22"/>
        </w:rPr>
        <w:t>：更新中，敬请关注~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color w:val="8f959e"/>
          <w:sz w:val="22"/>
        </w:rPr>
        <w:t xml:space="preserve">【简历投递】 </w:t>
      </w:r>
    </w:p>
    <w:p>
      <w:pPr>
        <w:numPr>
          <w:numId w:val="19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校招官网</w:t>
      </w:r>
      <w:r>
        <w:rPr>
          <w:rFonts w:eastAsia="等线" w:ascii="Arial" w:cs="Arial" w:hAnsi="Arial"/>
          <w:sz w:val="22"/>
        </w:rPr>
        <w:t>：</w:t>
      </w:r>
      <w:hyperlink r:id="rId6">
        <w:r>
          <w:rPr>
            <w:rFonts w:eastAsia="等线" w:ascii="Arial" w:cs="Arial" w:hAnsi="Arial"/>
            <w:color w:val="3370ff"/>
            <w:sz w:val="22"/>
          </w:rPr>
          <w:t>https://jobs.huaqin.com</w:t>
        </w:r>
      </w:hyperlink>
    </w:p>
    <w:p>
      <w:pPr>
        <w:numPr>
          <w:numId w:val="20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公众号</w:t>
      </w:r>
      <w:r>
        <w:rPr>
          <w:rFonts w:eastAsia="等线" w:ascii="Arial" w:cs="Arial" w:hAnsi="Arial"/>
          <w:sz w:val="22"/>
        </w:rPr>
        <w:t>：关注“</w:t>
      </w:r>
      <w:r>
        <w:rPr>
          <w:rFonts w:eastAsia="等线" w:ascii="Arial" w:cs="Arial" w:hAnsi="Arial"/>
          <w:b w:val="true"/>
          <w:sz w:val="22"/>
        </w:rPr>
        <w:t>华勤招聘</w:t>
      </w:r>
      <w:r>
        <w:rPr>
          <w:rFonts w:eastAsia="等线" w:ascii="Arial" w:cs="Arial" w:hAnsi="Arial"/>
          <w:sz w:val="22"/>
        </w:rPr>
        <w:t>”公众号，点击“校招网申”投递，并可了解最新动态。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 xml:space="preserve"> 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color w:val="8f959e"/>
          <w:sz w:val="22"/>
        </w:rPr>
        <w:t xml:space="preserve">【注意事项】 </w:t>
      </w:r>
    </w:p>
    <w:p>
      <w:pPr>
        <w:numPr>
          <w:numId w:val="21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测评要求</w:t>
      </w:r>
      <w:r>
        <w:rPr>
          <w:rFonts w:eastAsia="等线" w:ascii="Arial" w:cs="Arial" w:hAnsi="Arial"/>
          <w:sz w:val="22"/>
        </w:rPr>
        <w:t>：网申完毕后需在</w:t>
      </w:r>
      <w:r>
        <w:rPr>
          <w:rFonts w:eastAsia="等线" w:ascii="Arial" w:cs="Arial" w:hAnsi="Arial"/>
          <w:b w:val="true"/>
          <w:sz w:val="22"/>
        </w:rPr>
        <w:t>5天内</w:t>
      </w:r>
      <w:r>
        <w:rPr>
          <w:rFonts w:eastAsia="等线" w:ascii="Arial" w:cs="Arial" w:hAnsi="Arial"/>
          <w:sz w:val="22"/>
        </w:rPr>
        <w:t>完成线上考试+线上测评，非研发岗位仅需完成测评。</w:t>
      </w:r>
    </w:p>
    <w:p>
      <w:pPr>
        <w:numPr>
          <w:numId w:val="22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线下行程</w:t>
      </w:r>
      <w:r>
        <w:rPr>
          <w:rFonts w:eastAsia="等线" w:ascii="Arial" w:cs="Arial" w:hAnsi="Arial"/>
          <w:sz w:val="22"/>
        </w:rPr>
        <w:t>：线下的招聘会行程，将第一时间公布在“</w:t>
      </w:r>
      <w:r>
        <w:rPr>
          <w:rFonts w:eastAsia="等线" w:ascii="Arial" w:cs="Arial" w:hAnsi="Arial"/>
          <w:b w:val="true"/>
          <w:sz w:val="22"/>
        </w:rPr>
        <w:t>华勤招聘</w:t>
      </w:r>
      <w:r>
        <w:rPr>
          <w:rFonts w:eastAsia="等线" w:ascii="Arial" w:cs="Arial" w:hAnsi="Arial"/>
          <w:sz w:val="22"/>
        </w:rPr>
        <w:t>”微信公众号。</w:t>
      </w:r>
    </w:p>
    <w:p>
      <w:pPr>
        <w:numPr>
          <w:numId w:val="23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投递限制</w:t>
      </w:r>
      <w:r>
        <w:rPr>
          <w:rFonts w:eastAsia="等线" w:ascii="Arial" w:cs="Arial" w:hAnsi="Arial"/>
          <w:sz w:val="22"/>
        </w:rPr>
        <w:t>：每位同学最多可以投递</w:t>
      </w:r>
      <w:r>
        <w:rPr>
          <w:rFonts w:eastAsia="等线" w:ascii="Arial" w:cs="Arial" w:hAnsi="Arial"/>
          <w:b w:val="true"/>
          <w:sz w:val="22"/>
        </w:rPr>
        <w:t>两个岗位</w:t>
      </w:r>
      <w:r>
        <w:rPr>
          <w:rFonts w:eastAsia="等线" w:ascii="Arial" w:cs="Arial" w:hAnsi="Arial"/>
          <w:sz w:val="22"/>
        </w:rPr>
        <w:t>，每个岗位类允许投递</w:t>
      </w:r>
      <w:r>
        <w:rPr>
          <w:rFonts w:eastAsia="等线" w:ascii="Arial" w:cs="Arial" w:hAnsi="Arial"/>
          <w:b w:val="true"/>
          <w:sz w:val="22"/>
        </w:rPr>
        <w:t>三个工作地点</w:t>
      </w:r>
      <w:r>
        <w:rPr>
          <w:rFonts w:eastAsia="等线" w:ascii="Arial" w:cs="Arial" w:hAnsi="Arial"/>
          <w:sz w:val="22"/>
        </w:rPr>
        <w:t>。岗位及培养计划会根据投递志愿安排。</w:t>
      </w:r>
    </w:p>
    <w:p>
      <w:pPr>
        <w:numPr>
          <w:numId w:val="24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联系方式</w:t>
      </w:r>
      <w:r>
        <w:rPr>
          <w:rFonts w:eastAsia="等线" w:ascii="Arial" w:cs="Arial" w:hAnsi="Arial"/>
          <w:sz w:val="22"/>
        </w:rPr>
        <w:t>：如有疑问，请联系华勤技术校招组：</w:t>
      </w:r>
      <w:r>
        <w:rPr>
          <w:rFonts w:eastAsia="等线" w:ascii="Arial" w:cs="Arial" w:hAnsi="Arial"/>
          <w:b w:val="true"/>
          <w:sz w:val="22"/>
        </w:rPr>
        <w:t>campus@huaqin.com</w:t>
      </w:r>
    </w:p>
    <w:p>
      <w:pPr>
        <w:spacing w:before="120" w:after="120" w:line="288" w:lineRule="auto"/>
        <w:ind w:left="0"/>
        <w:jc w:val="left"/>
      </w:pPr>
    </w:p>
    <w:sectPr>
      <w:footerReference w:type="default" r:id="rId3"/>
      <w:headerReference w:type="default" r:id="rId7"/>
      <w:pgSz w:orient="portrait" w:h="16840" w:w="11905"/>
    </w:sectPr>
  </w:body>
</w:document>
</file>

<file path=word/footer1.xml><?xml version="1.0" encoding="utf-8"?>
<w:ftr xmlns:w="http://schemas.openxmlformats.org/wordprocessingml/2006/main">
  <w:p/>
</w:ftr>
</file>

<file path=word/header1.xml><?xml version="1.0" encoding="utf-8"?>
<w:hdr xmlns:w="http://schemas.openxmlformats.org/wordprocessingml/2006/main" xmlns:v="urn:schemas-microsoft-com:vml" xmlns:o="urn:schemas-microsoft-com:office:office" xmlns:w10="urn:schemas-microsoft-com:office:word" xmlns:r="http://schemas.openxmlformats.org/officeDocument/2006/relationships">
  <w:p w:rsidP="" w:rsidRDefault="">
    <w:pPr>
      <w:pStyle w:val="Header"/>
    </w:pPr>
    <w:r>
      <w:rPr>
        <w:noProof/>
      </w:rPr>
      <w:pict>
        <v:shapetype id="_x0000_t75" coordsize="21600,21600" o:spt="75.0" path="m@4@5l@4@11@9@11@9@5xe" stroked="f" filled="f" o:preferrelative="t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" o:spid="_x0000_s1025" type="#_x0000_t75" o:allowincell="f" style="position:absolute;left:0;text-align:left;margin-left:0;margin-top:0;width:414pt;height:697.5pt;z-index:-251645952;mso-wrap-edited:f;mso-width-percent:0;mso-height-percent:0;mso-position-horizontal:center;mso-position-horizontal-relative:margin;mso-position-vertical:center;mso-position-vertical-relative:margin;mso-width-percent:0;mso-height-percent:0">
          <w10:wrap anchorx="margin" anchory="margin"/>
          <v:imagedata r:id="rId1" o:title="image899"/>
        </v:shape>
      </w:pict>
    </w:r>
  </w:p>
</w:hdr>
</file>

<file path=word/numbering.xml><?xml version="1.0" encoding="utf-8"?>
<w:numbering xmlns:w="http://schemas.openxmlformats.org/wordprocessingml/2006/main">
  <w:abstractNum w:abstractNumId="224761">
    <w:lvl>
      <w:start w:val="1"/>
      <w:numFmt w:val="decimal"/>
      <w:suff w:val="tab"/>
      <w:lvlText w:val="%1."/>
      <w:rPr>
        <w:color w:val="3370ff"/>
      </w:rPr>
    </w:lvl>
  </w:abstractNum>
  <w:abstractNum w:abstractNumId="224762">
    <w:lvl>
      <w:start w:val="2"/>
      <w:numFmt w:val="decimal"/>
      <w:suff w:val="tab"/>
      <w:lvlText w:val="%1."/>
      <w:rPr>
        <w:color w:val="3370ff"/>
      </w:rPr>
    </w:lvl>
  </w:abstractNum>
  <w:abstractNum w:abstractNumId="224763">
    <w:lvl>
      <w:start w:val="3"/>
      <w:numFmt w:val="decimal"/>
      <w:suff w:val="tab"/>
      <w:lvlText w:val="%1."/>
      <w:rPr>
        <w:color w:val="3370ff"/>
      </w:rPr>
    </w:lvl>
  </w:abstractNum>
  <w:abstractNum w:abstractNumId="224764">
    <w:lvl>
      <w:start w:val="4"/>
      <w:numFmt w:val="decimal"/>
      <w:suff w:val="tab"/>
      <w:lvlText w:val="%1."/>
      <w:rPr>
        <w:color w:val="3370ff"/>
      </w:rPr>
    </w:lvl>
  </w:abstractNum>
  <w:abstractNum w:abstractNumId="224765">
    <w:lvl>
      <w:start w:val="5"/>
      <w:numFmt w:val="decimal"/>
      <w:suff w:val="tab"/>
      <w:lvlText w:val="%1."/>
      <w:rPr>
        <w:color w:val="3370ff"/>
      </w:rPr>
    </w:lvl>
  </w:abstractNum>
  <w:abstractNum w:abstractNumId="224766">
    <w:lvl>
      <w:start w:val="6"/>
      <w:numFmt w:val="decimal"/>
      <w:suff w:val="tab"/>
      <w:lvlText w:val="%1."/>
      <w:rPr>
        <w:color w:val="3370ff"/>
      </w:rPr>
    </w:lvl>
  </w:abstractNum>
  <w:abstractNum w:abstractNumId="224767">
    <w:lvl>
      <w:start w:val="7"/>
      <w:numFmt w:val="decimal"/>
      <w:suff w:val="tab"/>
      <w:lvlText w:val="%1."/>
      <w:rPr>
        <w:color w:val="3370ff"/>
      </w:rPr>
    </w:lvl>
  </w:abstractNum>
  <w:abstractNum w:abstractNumId="224768">
    <w:lvl>
      <w:start w:val="8"/>
      <w:numFmt w:val="decimal"/>
      <w:suff w:val="tab"/>
      <w:lvlText w:val="%1."/>
      <w:rPr>
        <w:color w:val="3370ff"/>
      </w:rPr>
    </w:lvl>
  </w:abstractNum>
  <w:abstractNum w:abstractNumId="224769">
    <w:lvl>
      <w:numFmt w:val="bullet"/>
      <w:suff w:val="tab"/>
      <w:lvlText w:val="•"/>
      <w:rPr>
        <w:color w:val="3370ff"/>
      </w:rPr>
    </w:lvl>
  </w:abstractNum>
  <w:abstractNum w:abstractNumId="224770">
    <w:lvl>
      <w:numFmt w:val="bullet"/>
      <w:suff w:val="tab"/>
      <w:lvlText w:val="•"/>
      <w:rPr>
        <w:color w:val="3370ff"/>
      </w:rPr>
    </w:lvl>
  </w:abstractNum>
  <w:abstractNum w:abstractNumId="224771">
    <w:lvl>
      <w:numFmt w:val="bullet"/>
      <w:suff w:val="tab"/>
      <w:lvlText w:val="•"/>
      <w:rPr>
        <w:color w:val="3370ff"/>
      </w:rPr>
    </w:lvl>
  </w:abstractNum>
  <w:abstractNum w:abstractNumId="224772">
    <w:lvl>
      <w:numFmt w:val="bullet"/>
      <w:suff w:val="tab"/>
      <w:lvlText w:val="•"/>
      <w:rPr>
        <w:color w:val="3370ff"/>
      </w:rPr>
    </w:lvl>
  </w:abstractNum>
  <w:abstractNum w:abstractNumId="224773">
    <w:lvl>
      <w:numFmt w:val="bullet"/>
      <w:suff w:val="tab"/>
      <w:lvlText w:val="•"/>
      <w:rPr>
        <w:color w:val="3370ff"/>
      </w:rPr>
    </w:lvl>
  </w:abstractNum>
  <w:abstractNum w:abstractNumId="224774">
    <w:lvl>
      <w:start w:val="1"/>
      <w:numFmt w:val="decimal"/>
      <w:suff w:val="tab"/>
      <w:lvlText w:val="%1."/>
      <w:rPr>
        <w:color w:val="3370ff"/>
      </w:rPr>
    </w:lvl>
  </w:abstractNum>
  <w:abstractNum w:abstractNumId="224775">
    <w:lvl>
      <w:start w:val="2"/>
      <w:numFmt w:val="decimal"/>
      <w:suff w:val="tab"/>
      <w:lvlText w:val="%1."/>
      <w:rPr>
        <w:color w:val="3370ff"/>
      </w:rPr>
    </w:lvl>
  </w:abstractNum>
  <w:abstractNum w:abstractNumId="224776">
    <w:lvl>
      <w:start w:val="3"/>
      <w:numFmt w:val="decimal"/>
      <w:suff w:val="tab"/>
      <w:lvlText w:val="%1."/>
      <w:rPr>
        <w:color w:val="3370ff"/>
      </w:rPr>
    </w:lvl>
  </w:abstractNum>
  <w:abstractNum w:abstractNumId="224777">
    <w:lvl>
      <w:start w:val="4"/>
      <w:numFmt w:val="decimal"/>
      <w:suff w:val="tab"/>
      <w:lvlText w:val="%1."/>
      <w:rPr>
        <w:color w:val="3370ff"/>
      </w:rPr>
    </w:lvl>
  </w:abstractNum>
  <w:abstractNum w:abstractNumId="224778">
    <w:lvl>
      <w:start w:val="5"/>
      <w:numFmt w:val="decimal"/>
      <w:suff w:val="tab"/>
      <w:lvlText w:val="%1."/>
      <w:rPr>
        <w:color w:val="3370ff"/>
      </w:rPr>
    </w:lvl>
  </w:abstractNum>
  <w:abstractNum w:abstractNumId="224779">
    <w:lvl>
      <w:start w:val="1"/>
      <w:numFmt w:val="decimal"/>
      <w:suff w:val="tab"/>
      <w:lvlText w:val="%1."/>
      <w:rPr>
        <w:color w:val="3370ff"/>
      </w:rPr>
    </w:lvl>
  </w:abstractNum>
  <w:abstractNum w:abstractNumId="224780">
    <w:lvl>
      <w:start w:val="2"/>
      <w:numFmt w:val="decimal"/>
      <w:suff w:val="tab"/>
      <w:lvlText w:val="%1."/>
      <w:rPr>
        <w:color w:val="3370ff"/>
      </w:rPr>
    </w:lvl>
  </w:abstractNum>
  <w:abstractNum w:abstractNumId="224781">
    <w:lvl>
      <w:start w:val="1"/>
      <w:numFmt w:val="decimal"/>
      <w:suff w:val="tab"/>
      <w:lvlText w:val="%1."/>
      <w:rPr>
        <w:color w:val="3370ff"/>
      </w:rPr>
    </w:lvl>
  </w:abstractNum>
  <w:abstractNum w:abstractNumId="224782">
    <w:lvl>
      <w:start w:val="2"/>
      <w:numFmt w:val="decimal"/>
      <w:suff w:val="tab"/>
      <w:lvlText w:val="%1."/>
      <w:rPr>
        <w:color w:val="3370ff"/>
      </w:rPr>
    </w:lvl>
  </w:abstractNum>
  <w:abstractNum w:abstractNumId="224783">
    <w:lvl>
      <w:start w:val="3"/>
      <w:numFmt w:val="decimal"/>
      <w:suff w:val="tab"/>
      <w:lvlText w:val="%1."/>
      <w:rPr>
        <w:color w:val="3370ff"/>
      </w:rPr>
    </w:lvl>
  </w:abstractNum>
  <w:abstractNum w:abstractNumId="224784">
    <w:lvl>
      <w:start w:val="4"/>
      <w:numFmt w:val="decimal"/>
      <w:suff w:val="tab"/>
      <w:lvlText w:val="%1."/>
      <w:rPr>
        <w:color w:val="3370ff"/>
      </w:rPr>
    </w:lvl>
  </w:abstractNum>
  <w:num w:numId="1">
    <w:abstractNumId w:val="224761"/>
  </w:num>
  <w:num w:numId="2">
    <w:abstractNumId w:val="224762"/>
  </w:num>
  <w:num w:numId="3">
    <w:abstractNumId w:val="224763"/>
  </w:num>
  <w:num w:numId="4">
    <w:abstractNumId w:val="224764"/>
  </w:num>
  <w:num w:numId="5">
    <w:abstractNumId w:val="224765"/>
  </w:num>
  <w:num w:numId="6">
    <w:abstractNumId w:val="224766"/>
  </w:num>
  <w:num w:numId="7">
    <w:abstractNumId w:val="224767"/>
  </w:num>
  <w:num w:numId="8">
    <w:abstractNumId w:val="224768"/>
  </w:num>
  <w:num w:numId="9">
    <w:abstractNumId w:val="224769"/>
  </w:num>
  <w:num w:numId="10">
    <w:abstractNumId w:val="224770"/>
  </w:num>
  <w:num w:numId="11">
    <w:abstractNumId w:val="224771"/>
  </w:num>
  <w:num w:numId="12">
    <w:abstractNumId w:val="224772"/>
  </w:num>
  <w:num w:numId="13">
    <w:abstractNumId w:val="224773"/>
  </w:num>
  <w:num w:numId="14">
    <w:abstractNumId w:val="224774"/>
  </w:num>
  <w:num w:numId="15">
    <w:abstractNumId w:val="224775"/>
  </w:num>
  <w:num w:numId="16">
    <w:abstractNumId w:val="224776"/>
  </w:num>
  <w:num w:numId="17">
    <w:abstractNumId w:val="224777"/>
  </w:num>
  <w:num w:numId="18">
    <w:abstractNumId w:val="224778"/>
  </w:num>
  <w:num w:numId="19">
    <w:abstractNumId w:val="224779"/>
  </w:num>
  <w:num w:numId="20">
    <w:abstractNumId w:val="224780"/>
  </w:num>
  <w:num w:numId="21">
    <w:abstractNumId w:val="224781"/>
  </w:num>
  <w:num w:numId="22">
    <w:abstractNumId w:val="224782"/>
  </w:num>
  <w:num w:numId="23">
    <w:abstractNumId w:val="224783"/>
  </w:num>
  <w:num w:numId="24">
    <w:abstractNumId w:val="224784"/>
  </w:num>
</w:numbering>
</file>

<file path=word/settings.xml><?xml version="1.0" encoding="utf-8"?>
<w:settings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styles.xml" Type="http://schemas.openxmlformats.org/officeDocument/2006/relationships/styles"/><Relationship Id="rId3" Target="footer1.xml" Type="http://schemas.openxmlformats.org/officeDocument/2006/relationships/footer"/><Relationship Id="rId4" Target="media/image1.png" Type="http://schemas.openxmlformats.org/officeDocument/2006/relationships/image"/><Relationship Id="rId5" Target="numbering.xml" Type="http://schemas.openxmlformats.org/officeDocument/2006/relationships/numbering"/><Relationship Id="rId6" Target="https://jobs.huaqin.com/" TargetMode="External" Type="http://schemas.openxmlformats.org/officeDocument/2006/relationships/hyperlink"/><Relationship Id="rId7" Target="header1.xml" Type="http://schemas.openxmlformats.org/officeDocument/2006/relationships/header"/></Relationships>
</file>

<file path=word/_rels/header1.xml.rels><?xml version="1.0" encoding="UTF-8" standalone="yes"?><Relationships xmlns="http://schemas.openxmlformats.org/package/2006/relationships"><Relationship Id="rId1" Target="media/image2.png" Type="http://schemas.openxmlformats.org/officeDocument/2006/relationships/image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2026-08-24T08:05:33Z</dcterms:created>
  <dc:creator>Apache POI</dc:creator>
</cp:coreProperties>
</file>